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小标宋简体" w:cs="Times New Roman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lang w:val="en-US" w:eastAsia="zh-CN"/>
        </w:rPr>
        <w:t>第11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lang w:val="en-US" w:eastAsia="zh-CN"/>
        </w:rPr>
        <w:t>步：填写“采购预算”等项目资金来源情况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1.各类资金逻辑关系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采购预算=政府预算资金金额+财政专户管理资金金额+单位资金金额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2.一般预算单位，不涉及“财政专户管理资金”和“单位资金”。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名词解释：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采购预算：是指该项目全部预算金额。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政府预算资金：是指通过政府预算资金安排的采购资金。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财政专户管理资金：是指通过财政专户管理资金安排的采购资金。如：教育收入等资金。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单位资金：是指通过单位自有资金安排的采购资金。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020D1"/>
    <w:rsid w:val="087A412F"/>
    <w:rsid w:val="25FD1641"/>
    <w:rsid w:val="2D98354D"/>
    <w:rsid w:val="50F020D1"/>
    <w:rsid w:val="623A1E60"/>
    <w:rsid w:val="644D4CA8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2024-12-05T08:33:00Z</dcterms:created>
  <dc:creator>魏冉</dc:creator>
  <cp:lastModifiedBy>魏冉</cp:lastModifiedBy>
  <dcterms:modified xsi:type="dcterms:W3CDTF">2024-12-06T06:55:19Z</dcterms:modified>
  <dc:title>第9步：填写“采购预算”等项目资金来源情况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